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C675D4">
        <w:rPr>
          <w:sz w:val="28"/>
          <w:szCs w:val="28"/>
          <w:lang w:val="uk-UA" w:eastAsia="zh-CN"/>
        </w:rPr>
        <w:t>26</w:t>
      </w:r>
      <w:r>
        <w:rPr>
          <w:sz w:val="28"/>
          <w:szCs w:val="28"/>
          <w:lang w:val="uk-UA" w:eastAsia="zh-CN"/>
        </w:rPr>
        <w:t>»</w:t>
      </w:r>
      <w:r w:rsidR="00C675D4">
        <w:rPr>
          <w:sz w:val="28"/>
          <w:szCs w:val="28"/>
          <w:lang w:val="uk-UA" w:eastAsia="zh-CN"/>
        </w:rPr>
        <w:t xml:space="preserve"> травня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C675D4">
        <w:rPr>
          <w:sz w:val="28"/>
          <w:szCs w:val="28"/>
          <w:lang w:val="uk-UA" w:eastAsia="zh-CN"/>
        </w:rPr>
        <w:t xml:space="preserve"> року</w:t>
      </w:r>
      <w:bookmarkStart w:id="0" w:name="_GoBack"/>
      <w:bookmarkEnd w:id="0"/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061C14" w:rsidRPr="003E04FF" w:rsidRDefault="00061C14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AE2453">
        <w:rPr>
          <w:b/>
          <w:bCs/>
          <w:sz w:val="28"/>
          <w:szCs w:val="28"/>
          <w:lang w:val="uk-UA" w:eastAsia="zh-CN"/>
        </w:rPr>
        <w:t>№1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E90FDD" w:rsidRDefault="00E90FDD" w:rsidP="00F20CF1">
      <w:pPr>
        <w:pStyle w:val="1"/>
        <w:numPr>
          <w:ilvl w:val="0"/>
          <w:numId w:val="4"/>
        </w:numPr>
        <w:ind w:left="0" w:firstLine="705"/>
        <w:rPr>
          <w:b/>
          <w:szCs w:val="28"/>
        </w:rPr>
      </w:pPr>
      <w:r>
        <w:rPr>
          <w:rStyle w:val="FontStyle4"/>
          <w:rFonts w:ascii="Times New Roman" w:hAnsi="Times New Roman" w:cs="Times New Roman"/>
          <w:b w:val="0"/>
        </w:rPr>
        <w:t>П</w:t>
      </w:r>
      <w:r w:rsidRPr="008E668E">
        <w:rPr>
          <w:rStyle w:val="FontStyle4"/>
          <w:rFonts w:ascii="Times New Roman" w:hAnsi="Times New Roman" w:cs="Times New Roman"/>
          <w:b w:val="0"/>
        </w:rPr>
        <w:t xml:space="preserve">ро погодження </w:t>
      </w:r>
      <w:proofErr w:type="spellStart"/>
      <w:r w:rsidRPr="008E668E">
        <w:rPr>
          <w:rStyle w:val="FontStyle4"/>
          <w:rFonts w:ascii="Times New Roman" w:hAnsi="Times New Roman" w:cs="Times New Roman"/>
          <w:b w:val="0"/>
        </w:rPr>
        <w:t>про</w:t>
      </w:r>
      <w:r>
        <w:rPr>
          <w:rStyle w:val="FontStyle4"/>
          <w:rFonts w:ascii="Times New Roman" w:hAnsi="Times New Roman" w:cs="Times New Roman"/>
          <w:b w:val="0"/>
        </w:rPr>
        <w:t>є</w:t>
      </w:r>
      <w:r w:rsidRPr="008E668E">
        <w:rPr>
          <w:rStyle w:val="FontStyle4"/>
          <w:rFonts w:ascii="Times New Roman" w:hAnsi="Times New Roman" w:cs="Times New Roman"/>
          <w:b w:val="0"/>
        </w:rPr>
        <w:t>кту</w:t>
      </w:r>
      <w:proofErr w:type="spellEnd"/>
      <w:r w:rsidRPr="008E668E">
        <w:rPr>
          <w:rStyle w:val="FontStyle4"/>
          <w:rFonts w:ascii="Times New Roman" w:hAnsi="Times New Roman" w:cs="Times New Roman"/>
          <w:b w:val="0"/>
        </w:rPr>
        <w:t xml:space="preserve"> розпорядження голови обласної державної адміністрації</w:t>
      </w:r>
      <w:r w:rsidRPr="008E668E">
        <w:rPr>
          <w:rStyle w:val="FontStyle4"/>
          <w:rFonts w:ascii="Times New Roman" w:hAnsi="Times New Roman" w:cs="Times New Roman"/>
        </w:rPr>
        <w:t xml:space="preserve"> </w:t>
      </w:r>
      <w:r w:rsidRPr="008E668E">
        <w:rPr>
          <w:rStyle w:val="FontStyle4"/>
          <w:rFonts w:ascii="Times New Roman" w:hAnsi="Times New Roman" w:cs="Times New Roman"/>
          <w:b w:val="0"/>
        </w:rPr>
        <w:t>«</w:t>
      </w:r>
      <w:r w:rsidR="00F20CF1" w:rsidRPr="00F20CF1">
        <w:rPr>
          <w:b/>
          <w:szCs w:val="28"/>
        </w:rPr>
        <w:t>Про розподіл на 2020 рік обсягу субвенції з місцевого бюджету за рахунок залишку коштів освітньої субвенції, що утворився на початок бюджетного періоду</w:t>
      </w:r>
      <w:r w:rsidRPr="008E668E">
        <w:rPr>
          <w:rStyle w:val="FontStyle4"/>
          <w:rFonts w:ascii="Times New Roman" w:hAnsi="Times New Roman" w:cs="Times New Roman"/>
          <w:b w:val="0"/>
        </w:rPr>
        <w:t>»</w:t>
      </w:r>
      <w:r w:rsidRPr="008E668E">
        <w:rPr>
          <w:b/>
          <w:szCs w:val="28"/>
        </w:rPr>
        <w:t>.</w:t>
      </w:r>
    </w:p>
    <w:p w:rsidR="00F3040C" w:rsidRPr="00F3040C" w:rsidRDefault="00F3040C" w:rsidP="00F3040C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061C14" w:rsidRPr="00061C14" w:rsidRDefault="00E90FDD" w:rsidP="00061C14">
      <w:pPr>
        <w:tabs>
          <w:tab w:val="left" w:pos="540"/>
        </w:tabs>
        <w:ind w:firstLine="539"/>
        <w:jc w:val="both"/>
        <w:rPr>
          <w:rFonts w:eastAsia="Calibri" w:cs="Arial"/>
          <w:bCs/>
          <w:sz w:val="27"/>
          <w:szCs w:val="27"/>
          <w:lang w:val="uk-UA" w:eastAsia="en-US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Погодити </w:t>
      </w:r>
      <w:proofErr w:type="spellStart"/>
      <w:r w:rsidRPr="00E90FDD">
        <w:rPr>
          <w:rFonts w:eastAsia="Calibri"/>
          <w:bCs/>
          <w:sz w:val="28"/>
          <w:szCs w:val="28"/>
          <w:lang w:val="uk-UA" w:eastAsia="en-US"/>
        </w:rPr>
        <w:t>проєкт</w:t>
      </w:r>
      <w:proofErr w:type="spellEnd"/>
      <w:r w:rsidRPr="00E90FDD">
        <w:rPr>
          <w:rFonts w:eastAsia="Calibri"/>
          <w:bCs/>
          <w:sz w:val="28"/>
          <w:szCs w:val="28"/>
          <w:lang w:val="uk-UA" w:eastAsia="en-US"/>
        </w:rPr>
        <w:t xml:space="preserve"> розпорядження голови обласної державної адміністрації «</w:t>
      </w:r>
      <w:r w:rsidR="00061C14" w:rsidRPr="00061C14">
        <w:rPr>
          <w:rFonts w:eastAsia="Calibri"/>
          <w:b/>
          <w:sz w:val="28"/>
          <w:szCs w:val="28"/>
          <w:lang w:val="uk-UA" w:eastAsia="en-US"/>
        </w:rPr>
        <w:t>Про розподіл на 2020 рік обсягу субвенції з місцевого бюджету за рахунок залишку коштів освітньої субвенції, що утворився на початок бюджетного періоду</w:t>
      </w:r>
      <w:r w:rsidRPr="00E90FDD">
        <w:rPr>
          <w:rFonts w:eastAsia="Calibri"/>
          <w:bCs/>
          <w:sz w:val="28"/>
          <w:szCs w:val="28"/>
          <w:lang w:val="uk-UA" w:eastAsia="en-US"/>
        </w:rPr>
        <w:t>»</w:t>
      </w:r>
      <w:r w:rsidRPr="00E90FDD">
        <w:rPr>
          <w:rFonts w:eastAsia="Calibri"/>
          <w:b/>
          <w:bCs/>
          <w:sz w:val="28"/>
          <w:szCs w:val="28"/>
          <w:lang w:val="uk-UA" w:eastAsia="en-US"/>
        </w:rPr>
        <w:t xml:space="preserve"> (погодити </w:t>
      </w:r>
      <w:r w:rsidR="00061C14" w:rsidRPr="00061C14">
        <w:rPr>
          <w:rFonts w:eastAsia="Calibri" w:cs="Arial"/>
          <w:bCs/>
          <w:sz w:val="27"/>
          <w:szCs w:val="27"/>
          <w:lang w:val="uk-UA" w:eastAsia="en-US"/>
        </w:rPr>
        <w:t>здійснення розподілу обсягу цільових видатків, затверджених  Департаменту освіти і науки обласної державної адміністрації як головному розпоряднику коштів обласного бюджету за КПКВК 0619320 «Субвенція з місцевого бюджету за рахунок залишку коштів освітньої субвенції, що утворився на початок бюджетного періоду» між бюджетами міст, районів, об’єднаних територіальних громад області та обласним бюджетом у сумі      19 999 400 грн, з яких:</w:t>
      </w:r>
    </w:p>
    <w:p w:rsidR="00061C14" w:rsidRP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rFonts w:eastAsia="Calibri" w:cs="Arial"/>
          <w:bCs/>
          <w:sz w:val="27"/>
          <w:szCs w:val="27"/>
          <w:lang w:val="uk-UA" w:eastAsia="en-US"/>
        </w:rPr>
      </w:pPr>
      <w:r w:rsidRPr="00061C14">
        <w:rPr>
          <w:rFonts w:eastAsia="Calibri" w:cs="Arial"/>
          <w:bCs/>
          <w:sz w:val="27"/>
          <w:szCs w:val="27"/>
          <w:lang w:val="uk-UA" w:eastAsia="en-US"/>
        </w:rPr>
        <w:t xml:space="preserve">на ремонт та придбання обладнання для </w:t>
      </w:r>
      <w:proofErr w:type="spellStart"/>
      <w:r w:rsidRPr="00061C14">
        <w:rPr>
          <w:rFonts w:eastAsia="Calibri" w:cs="Arial"/>
          <w:bCs/>
          <w:sz w:val="27"/>
          <w:szCs w:val="27"/>
          <w:lang w:val="uk-UA" w:eastAsia="en-US"/>
        </w:rPr>
        <w:t>їдалень</w:t>
      </w:r>
      <w:proofErr w:type="spellEnd"/>
      <w:r w:rsidRPr="00061C14">
        <w:rPr>
          <w:rFonts w:eastAsia="Calibri" w:cs="Arial"/>
          <w:bCs/>
          <w:sz w:val="27"/>
          <w:szCs w:val="27"/>
          <w:lang w:val="uk-UA" w:eastAsia="en-US"/>
        </w:rPr>
        <w:t xml:space="preserve"> (харчоблоків) закладів загальної середньої освіти – 16 412 900 грн;</w:t>
      </w:r>
    </w:p>
    <w:p w:rsidR="00061C14" w:rsidRP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rFonts w:eastAsia="Calibri" w:cs="Arial"/>
          <w:bCs/>
          <w:sz w:val="27"/>
          <w:szCs w:val="27"/>
          <w:lang w:val="uk-UA" w:eastAsia="en-US"/>
        </w:rPr>
      </w:pPr>
      <w:r w:rsidRPr="00061C14">
        <w:rPr>
          <w:rFonts w:eastAsia="Calibri" w:cs="Arial"/>
          <w:bCs/>
          <w:sz w:val="27"/>
          <w:szCs w:val="27"/>
          <w:lang w:val="uk-UA" w:eastAsia="en-US"/>
        </w:rPr>
        <w:t>на забезпечення належних санітарно-гігієнічних умов у приміщеннях закладів загальної середньої освіти – 3 586 500 грн;</w:t>
      </w:r>
    </w:p>
    <w:p w:rsidR="00061C14" w:rsidRP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rFonts w:eastAsia="Calibri" w:cs="Arial"/>
          <w:bCs/>
          <w:sz w:val="27"/>
          <w:szCs w:val="27"/>
          <w:lang w:val="uk-UA" w:eastAsia="en-US"/>
        </w:rPr>
      </w:pPr>
      <w:r w:rsidRPr="00061C14">
        <w:rPr>
          <w:rFonts w:eastAsia="Calibri" w:cs="Arial"/>
          <w:bCs/>
          <w:sz w:val="27"/>
          <w:szCs w:val="27"/>
          <w:lang w:val="uk-UA" w:eastAsia="en-US"/>
        </w:rPr>
        <w:t xml:space="preserve">Департаменту освіти і науки обласної державної адміністрації зменшення видатків за КПКВК 0619320 «Субвенція з місцевого бюджету за рахунок залишку коштів освітньої субвенції, що утворився на початок бюджетного періоду» на суму 784 345 грн та відповідно збільшити видатки на ремонт та придбання обладнання для </w:t>
      </w:r>
      <w:proofErr w:type="spellStart"/>
      <w:r w:rsidRPr="00061C14">
        <w:rPr>
          <w:rFonts w:eastAsia="Calibri" w:cs="Arial"/>
          <w:bCs/>
          <w:sz w:val="27"/>
          <w:szCs w:val="27"/>
          <w:lang w:val="uk-UA" w:eastAsia="en-US"/>
        </w:rPr>
        <w:t>їдалень</w:t>
      </w:r>
      <w:proofErr w:type="spellEnd"/>
      <w:r w:rsidRPr="00061C14">
        <w:rPr>
          <w:rFonts w:eastAsia="Calibri" w:cs="Arial"/>
          <w:bCs/>
          <w:sz w:val="27"/>
          <w:szCs w:val="27"/>
          <w:lang w:val="uk-UA" w:eastAsia="en-US"/>
        </w:rPr>
        <w:t xml:space="preserve"> (харчоблоків) закладів загальної середньої освіти:</w:t>
      </w:r>
    </w:p>
    <w:p w:rsidR="00061C14" w:rsidRP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rFonts w:eastAsia="Calibri" w:cs="Arial"/>
          <w:bCs/>
          <w:sz w:val="27"/>
          <w:szCs w:val="27"/>
          <w:lang w:val="uk-UA" w:eastAsia="en-US"/>
        </w:rPr>
      </w:pPr>
      <w:r w:rsidRPr="00061C14">
        <w:rPr>
          <w:rFonts w:eastAsia="Calibri" w:cs="Arial"/>
          <w:bCs/>
          <w:sz w:val="27"/>
          <w:szCs w:val="27"/>
          <w:lang w:val="uk-UA" w:eastAsia="en-US"/>
        </w:rPr>
        <w:t xml:space="preserve"> за КПКВК 0611040 «Надання загальної середньої освіти санаторними закладами загальної середньої освіти з відповідним профілем для дітей, які </w:t>
      </w:r>
      <w:r w:rsidRPr="00061C14">
        <w:rPr>
          <w:rFonts w:eastAsia="Calibri" w:cs="Arial"/>
          <w:bCs/>
          <w:sz w:val="27"/>
          <w:szCs w:val="27"/>
          <w:lang w:val="uk-UA" w:eastAsia="en-US"/>
        </w:rPr>
        <w:lastRenderedPageBreak/>
        <w:t>потребують тривалого лікування» на 336 345 грн (здійснити передачу коштів із загального фонду до бюджету розвитку (спеціального фонду));</w:t>
      </w:r>
    </w:p>
    <w:p w:rsidR="00061C14" w:rsidRP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rFonts w:eastAsia="Calibri" w:cs="Arial"/>
          <w:bCs/>
          <w:sz w:val="27"/>
          <w:szCs w:val="27"/>
          <w:lang w:val="uk-UA" w:eastAsia="en-US"/>
        </w:rPr>
      </w:pPr>
      <w:r w:rsidRPr="00061C14">
        <w:rPr>
          <w:rFonts w:eastAsia="Calibri" w:cs="Arial"/>
          <w:bCs/>
          <w:sz w:val="27"/>
          <w:szCs w:val="27"/>
          <w:lang w:val="uk-UA" w:eastAsia="en-US"/>
        </w:rPr>
        <w:t xml:space="preserve">  за КПКВК 0611050 «Надання загальної середньої освіти спеціалізованими закладами загальної середньої освіти» - на 448 000 грн (здійснити передачу коштів із загального фонду до бюджету розвитку (спеціального фонду)).  </w:t>
      </w:r>
    </w:p>
    <w:p w:rsidR="00AE2453" w:rsidRDefault="00AE2453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061C14" w:rsidRP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061C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1C14"/>
    <w:rsid w:val="000A70A4"/>
    <w:rsid w:val="0011687E"/>
    <w:rsid w:val="00131D4D"/>
    <w:rsid w:val="002A4D79"/>
    <w:rsid w:val="00300F67"/>
    <w:rsid w:val="003E04FF"/>
    <w:rsid w:val="004D7362"/>
    <w:rsid w:val="00511800"/>
    <w:rsid w:val="005176D3"/>
    <w:rsid w:val="00AE2453"/>
    <w:rsid w:val="00C37778"/>
    <w:rsid w:val="00C57471"/>
    <w:rsid w:val="00C675D4"/>
    <w:rsid w:val="00E02F61"/>
    <w:rsid w:val="00E90FDD"/>
    <w:rsid w:val="00F20CF1"/>
    <w:rsid w:val="00F3040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16</cp:revision>
  <cp:lastPrinted>2019-10-31T07:50:00Z</cp:lastPrinted>
  <dcterms:created xsi:type="dcterms:W3CDTF">2018-12-26T14:12:00Z</dcterms:created>
  <dcterms:modified xsi:type="dcterms:W3CDTF">2020-05-26T06:59:00Z</dcterms:modified>
</cp:coreProperties>
</file>